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91B" w:rsidRPr="00D12AC5" w:rsidRDefault="000B091B" w:rsidP="000B091B">
      <w:pPr>
        <w:pStyle w:val="Heading3"/>
        <w:jc w:val="center"/>
        <w:rPr>
          <w:rFonts w:asciiTheme="minorHAnsi" w:hAnsiTheme="minorHAnsi"/>
          <w:sz w:val="28"/>
          <w:szCs w:val="22"/>
          <w:lang w:val="de-DE"/>
        </w:rPr>
      </w:pPr>
      <w:bookmarkStart w:id="0" w:name="_GoBack"/>
      <w:bookmarkEnd w:id="0"/>
      <w:r w:rsidRPr="00D12AC5">
        <w:rPr>
          <w:rFonts w:asciiTheme="minorHAnsi" w:hAnsiTheme="minorHAnsi"/>
          <w:sz w:val="28"/>
          <w:szCs w:val="22"/>
          <w:lang w:val="de-DE"/>
        </w:rPr>
        <w:t>Curriculum Vitae</w:t>
      </w:r>
    </w:p>
    <w:p w:rsidR="000B091B" w:rsidRPr="00D12AC5" w:rsidRDefault="000B091B" w:rsidP="000B091B">
      <w:pPr>
        <w:pStyle w:val="Heading3"/>
        <w:jc w:val="center"/>
        <w:rPr>
          <w:rFonts w:asciiTheme="minorHAnsi" w:hAnsiTheme="minorHAnsi"/>
          <w:sz w:val="28"/>
          <w:szCs w:val="22"/>
          <w:lang w:val="de-DE"/>
        </w:rPr>
      </w:pPr>
      <w:r w:rsidRPr="00D12AC5">
        <w:rPr>
          <w:rFonts w:asciiTheme="minorHAnsi" w:hAnsiTheme="minorHAnsi"/>
          <w:sz w:val="28"/>
          <w:szCs w:val="22"/>
          <w:lang w:val="de-DE"/>
        </w:rPr>
        <w:t>Dr. Frank Asbrock, Dipl. Psych.</w:t>
      </w:r>
    </w:p>
    <w:p w:rsidR="000B091B" w:rsidRPr="00D12AC5" w:rsidRDefault="000B091B" w:rsidP="000B091B">
      <w:pPr>
        <w:rPr>
          <w:rFonts w:asciiTheme="minorHAnsi" w:hAnsiTheme="minorHAnsi"/>
          <w:sz w:val="22"/>
          <w:szCs w:val="22"/>
          <w:lang w:val="de-DE"/>
        </w:rPr>
      </w:pPr>
    </w:p>
    <w:p w:rsidR="000B091B" w:rsidRPr="009C0098" w:rsidRDefault="00C22333" w:rsidP="000B091B">
      <w:pPr>
        <w:jc w:val="center"/>
        <w:rPr>
          <w:rFonts w:asciiTheme="minorHAnsi" w:hAnsiTheme="minorHAnsi"/>
          <w:sz w:val="22"/>
          <w:szCs w:val="22"/>
          <w:lang w:val="en-US"/>
        </w:rPr>
      </w:pPr>
      <w:r w:rsidRPr="009C0098">
        <w:rPr>
          <w:rFonts w:asciiTheme="minorHAnsi" w:hAnsiTheme="minorHAnsi"/>
          <w:sz w:val="22"/>
          <w:szCs w:val="22"/>
          <w:lang w:val="en-US"/>
        </w:rPr>
        <w:t xml:space="preserve">Philipps </w:t>
      </w:r>
      <w:r w:rsidR="000B091B" w:rsidRPr="009C0098">
        <w:rPr>
          <w:rFonts w:asciiTheme="minorHAnsi" w:hAnsiTheme="minorHAnsi"/>
          <w:sz w:val="22"/>
          <w:szCs w:val="22"/>
          <w:lang w:val="en-US"/>
        </w:rPr>
        <w:t>University of Marburg</w:t>
      </w:r>
    </w:p>
    <w:p w:rsidR="000B091B" w:rsidRPr="009C0098" w:rsidRDefault="000B091B" w:rsidP="000B091B">
      <w:pPr>
        <w:jc w:val="center"/>
        <w:rPr>
          <w:rFonts w:asciiTheme="minorHAnsi" w:hAnsiTheme="minorHAnsi"/>
          <w:sz w:val="22"/>
          <w:szCs w:val="22"/>
          <w:lang w:val="en-US"/>
        </w:rPr>
      </w:pPr>
      <w:r w:rsidRPr="009C0098">
        <w:rPr>
          <w:rFonts w:asciiTheme="minorHAnsi" w:hAnsiTheme="minorHAnsi"/>
          <w:sz w:val="22"/>
          <w:szCs w:val="22"/>
          <w:lang w:val="en-US"/>
        </w:rPr>
        <w:t>Department of Psychology</w:t>
      </w:r>
    </w:p>
    <w:p w:rsidR="000B091B" w:rsidRPr="009C0098" w:rsidRDefault="000B091B" w:rsidP="000B091B">
      <w:pPr>
        <w:jc w:val="center"/>
        <w:rPr>
          <w:rFonts w:asciiTheme="minorHAnsi" w:hAnsiTheme="minorHAnsi"/>
          <w:sz w:val="22"/>
          <w:szCs w:val="22"/>
          <w:lang w:val="en-US"/>
        </w:rPr>
      </w:pPr>
      <w:r w:rsidRPr="009C0098">
        <w:rPr>
          <w:rFonts w:asciiTheme="minorHAnsi" w:hAnsiTheme="minorHAnsi"/>
          <w:sz w:val="22"/>
          <w:szCs w:val="22"/>
          <w:lang w:val="en-US"/>
        </w:rPr>
        <w:t>Social Psychology Work Group</w:t>
      </w:r>
    </w:p>
    <w:p w:rsidR="000B091B" w:rsidRPr="00CD7F84" w:rsidRDefault="000B091B" w:rsidP="000B091B">
      <w:pPr>
        <w:jc w:val="center"/>
        <w:rPr>
          <w:rFonts w:asciiTheme="minorHAnsi" w:hAnsiTheme="minorHAnsi"/>
          <w:sz w:val="22"/>
          <w:szCs w:val="22"/>
          <w:lang w:val="de-DE"/>
        </w:rPr>
      </w:pPr>
      <w:r w:rsidRPr="009C0098">
        <w:rPr>
          <w:rFonts w:asciiTheme="minorHAnsi" w:hAnsiTheme="minorHAnsi"/>
          <w:sz w:val="22"/>
          <w:szCs w:val="22"/>
          <w:lang w:val="en-US"/>
        </w:rPr>
        <w:t xml:space="preserve">Gutenbergstr. </w:t>
      </w:r>
      <w:r w:rsidRPr="00CD7F84">
        <w:rPr>
          <w:rFonts w:asciiTheme="minorHAnsi" w:hAnsiTheme="minorHAnsi"/>
          <w:sz w:val="22"/>
          <w:szCs w:val="22"/>
          <w:lang w:val="de-DE"/>
        </w:rPr>
        <w:t>18</w:t>
      </w:r>
    </w:p>
    <w:p w:rsidR="000B091B" w:rsidRPr="00CD7F84" w:rsidRDefault="000B091B" w:rsidP="000B091B">
      <w:pPr>
        <w:jc w:val="center"/>
        <w:rPr>
          <w:rFonts w:asciiTheme="minorHAnsi" w:hAnsiTheme="minorHAnsi"/>
          <w:sz w:val="22"/>
          <w:szCs w:val="22"/>
          <w:lang w:val="de-DE"/>
        </w:rPr>
      </w:pPr>
      <w:r w:rsidRPr="00CD7F84">
        <w:rPr>
          <w:rFonts w:asciiTheme="minorHAnsi" w:hAnsiTheme="minorHAnsi"/>
          <w:sz w:val="22"/>
          <w:szCs w:val="22"/>
          <w:lang w:val="de-DE"/>
        </w:rPr>
        <w:t>35032 Marburg, Germany</w:t>
      </w:r>
    </w:p>
    <w:p w:rsidR="000B091B" w:rsidRPr="00CD7F84" w:rsidRDefault="000B091B" w:rsidP="000B091B">
      <w:pPr>
        <w:jc w:val="center"/>
        <w:rPr>
          <w:rFonts w:asciiTheme="minorHAnsi" w:hAnsiTheme="minorHAnsi"/>
          <w:sz w:val="22"/>
          <w:szCs w:val="22"/>
          <w:lang w:val="de-DE"/>
        </w:rPr>
      </w:pPr>
    </w:p>
    <w:p w:rsidR="0001737F" w:rsidRPr="00CD7F84" w:rsidRDefault="00366A2A" w:rsidP="000B091B">
      <w:pPr>
        <w:jc w:val="center"/>
        <w:rPr>
          <w:rFonts w:asciiTheme="minorHAnsi" w:hAnsiTheme="minorHAnsi"/>
          <w:sz w:val="22"/>
          <w:szCs w:val="22"/>
          <w:lang w:val="de-DE"/>
        </w:rPr>
      </w:pPr>
      <w:hyperlink r:id="rId7" w:history="1">
        <w:r w:rsidR="0001737F" w:rsidRPr="00CD7F84">
          <w:rPr>
            <w:rStyle w:val="Hyperlink"/>
            <w:rFonts w:asciiTheme="minorHAnsi" w:hAnsiTheme="minorHAnsi"/>
            <w:sz w:val="22"/>
            <w:szCs w:val="22"/>
            <w:lang w:val="de-DE"/>
          </w:rPr>
          <w:t>http://www.uni-marburg.de/fb04/team-wagner/Team-en/staff/frank-asbrock</w:t>
        </w:r>
      </w:hyperlink>
    </w:p>
    <w:p w:rsidR="0001737F" w:rsidRPr="00CD7F84" w:rsidRDefault="0001737F" w:rsidP="000B091B">
      <w:pPr>
        <w:jc w:val="center"/>
        <w:rPr>
          <w:rFonts w:asciiTheme="minorHAnsi" w:hAnsiTheme="minorHAnsi"/>
          <w:sz w:val="22"/>
          <w:szCs w:val="22"/>
          <w:lang w:val="de-DE"/>
        </w:rPr>
      </w:pPr>
    </w:p>
    <w:p w:rsidR="000B091B" w:rsidRDefault="00C6309A" w:rsidP="000B091B">
      <w:pPr>
        <w:spacing w:before="12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2014 </w:t>
      </w:r>
      <w:r w:rsidR="0001737F">
        <w:rPr>
          <w:rFonts w:asciiTheme="minorHAnsi" w:hAnsiTheme="minorHAnsi"/>
          <w:b/>
          <w:sz w:val="22"/>
          <w:szCs w:val="22"/>
        </w:rPr>
        <w:t>October</w:t>
      </w:r>
    </w:p>
    <w:p w:rsidR="00D12AC5" w:rsidRPr="00D12AC5" w:rsidRDefault="00D12AC5" w:rsidP="000B091B">
      <w:pPr>
        <w:spacing w:before="120"/>
        <w:rPr>
          <w:rFonts w:asciiTheme="minorHAnsi" w:hAnsiTheme="minorHAnsi"/>
          <w:b/>
          <w:sz w:val="22"/>
          <w:szCs w:val="22"/>
        </w:rPr>
      </w:pPr>
    </w:p>
    <w:tbl>
      <w:tblPr>
        <w:tblW w:w="9273" w:type="dxa"/>
        <w:tblLayout w:type="fixed"/>
        <w:tblLook w:val="01E0" w:firstRow="1" w:lastRow="1" w:firstColumn="1" w:lastColumn="1" w:noHBand="0" w:noVBand="0"/>
      </w:tblPr>
      <w:tblGrid>
        <w:gridCol w:w="2518"/>
        <w:gridCol w:w="236"/>
        <w:gridCol w:w="6519"/>
      </w:tblGrid>
      <w:tr w:rsidR="000B091B" w:rsidRPr="009C0098" w:rsidTr="00FA2D43">
        <w:tc>
          <w:tcPr>
            <w:tcW w:w="9273" w:type="dxa"/>
            <w:gridSpan w:val="3"/>
            <w:shd w:val="clear" w:color="auto" w:fill="BFBFBF"/>
          </w:tcPr>
          <w:p w:rsidR="000B091B" w:rsidRPr="009C0098" w:rsidRDefault="000B091B" w:rsidP="00851E74">
            <w:pPr>
              <w:spacing w:before="120"/>
              <w:rPr>
                <w:rFonts w:asciiTheme="minorHAnsi" w:hAnsiTheme="minorHAnsi"/>
                <w:b/>
                <w:sz w:val="22"/>
                <w:szCs w:val="22"/>
              </w:rPr>
            </w:pPr>
            <w:r w:rsidRPr="009C0098">
              <w:rPr>
                <w:rFonts w:asciiTheme="minorHAnsi" w:hAnsiTheme="minorHAnsi"/>
                <w:b/>
                <w:sz w:val="22"/>
                <w:szCs w:val="22"/>
              </w:rPr>
              <w:t>Academic Positions</w:t>
            </w:r>
          </w:p>
        </w:tc>
      </w:tr>
      <w:tr w:rsidR="009C0098" w:rsidRPr="009C0098" w:rsidTr="00FA2D43">
        <w:tc>
          <w:tcPr>
            <w:tcW w:w="2518" w:type="dxa"/>
          </w:tcPr>
          <w:p w:rsidR="00D12AC5" w:rsidRDefault="00C17359" w:rsidP="006C1B8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March</w:t>
            </w:r>
            <w:r w:rsidR="00D12AC5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="009E7966">
              <w:rPr>
                <w:rFonts w:asciiTheme="minorHAnsi" w:hAnsiTheme="minorHAnsi"/>
                <w:sz w:val="22"/>
                <w:szCs w:val="22"/>
                <w:lang w:val="en-US"/>
              </w:rPr>
              <w:t>–</w:t>
            </w:r>
            <w:r w:rsidR="00D12AC5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="009E7966">
              <w:rPr>
                <w:rFonts w:asciiTheme="minorHAnsi" w:hAnsiTheme="minorHAnsi"/>
                <w:sz w:val="22"/>
                <w:szCs w:val="22"/>
                <w:lang w:val="en-US"/>
              </w:rPr>
              <w:t>Sep 2013</w:t>
            </w:r>
          </w:p>
          <w:p w:rsidR="009C0098" w:rsidRPr="009C0098" w:rsidRDefault="009C0098" w:rsidP="006C1B8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Jan – Feb 2013</w:t>
            </w:r>
          </w:p>
        </w:tc>
        <w:tc>
          <w:tcPr>
            <w:tcW w:w="236" w:type="dxa"/>
          </w:tcPr>
          <w:p w:rsidR="009C0098" w:rsidRPr="009C0098" w:rsidRDefault="009C0098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D12AC5" w:rsidRDefault="009E7966" w:rsidP="006C1B8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Parental leave</w:t>
            </w:r>
          </w:p>
          <w:p w:rsidR="009C0098" w:rsidRPr="009C0098" w:rsidRDefault="009C0098" w:rsidP="0001737F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Research fellow at the Harvard Business School, Boston 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6C1B8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Feb</w:t>
            </w:r>
            <w:r w:rsidR="006C1B86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2011 - present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643FF2" w:rsidRPr="009C0098" w:rsidRDefault="00643FF2" w:rsidP="006C1B8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Lecturer at the Department of Psychology</w:t>
            </w:r>
            <w:r w:rsidR="006C1B86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, Social Psychology Work Group and the Center for Conflict Studies, 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Philipps University Marburg 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C1B86" w:rsidP="00093E3B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Jan</w:t>
            </w:r>
            <w:r w:rsidR="00643FF2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2011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643FF2" w:rsidRPr="009C0098" w:rsidRDefault="00643FF2" w:rsidP="0001737F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Research fellow at </w:t>
            </w:r>
            <w:r w:rsidR="00B741BA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the 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Harvard Business School, Boston 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643FF2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Oct 2010 – </w:t>
            </w:r>
            <w:r w:rsidR="006C1B86" w:rsidRPr="009C0098">
              <w:rPr>
                <w:rFonts w:asciiTheme="minorHAnsi" w:hAnsiTheme="minorHAnsi"/>
                <w:sz w:val="22"/>
                <w:szCs w:val="22"/>
                <w:lang w:val="en-US"/>
              </w:rPr>
              <w:t>Jan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2011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Post-doctoral fellow at the DFG Graduate School “Group Focused Enmity”, Philipps University of Marburg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June </w:t>
            </w:r>
            <w:r w:rsidR="009B4DB3" w:rsidRPr="009C0098">
              <w:rPr>
                <w:rFonts w:asciiTheme="minorHAnsi" w:hAnsiTheme="minorHAnsi"/>
                <w:sz w:val="22"/>
                <w:szCs w:val="22"/>
                <w:lang w:val="en-US"/>
              </w:rPr>
              <w:t>20</w:t>
            </w:r>
            <w:r w:rsidR="00224701" w:rsidRPr="009C0098">
              <w:rPr>
                <w:rFonts w:asciiTheme="minorHAnsi" w:hAnsiTheme="minorHAnsi"/>
                <w:sz w:val="22"/>
                <w:szCs w:val="22"/>
                <w:lang w:val="en-US"/>
              </w:rPr>
              <w:t>10</w:t>
            </w:r>
            <w:r w:rsidR="009B4DB3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– Sep 2010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643FF2" w:rsidRPr="009C0098" w:rsidRDefault="00224701" w:rsidP="002E3DF5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Visiting</w:t>
            </w:r>
            <w:r w:rsidR="00643FF2"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 professor of Social Psychology, Department of Psychology, Philipps University of Marburg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Nov 2008 – May 2009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519" w:type="dxa"/>
          </w:tcPr>
          <w:p w:rsidR="00643FF2" w:rsidRPr="009C0098" w:rsidRDefault="00643FF2" w:rsidP="0001737F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Research fellow at the Department of Psychology, University of Auckland, New Zealand 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Oct 2008 – May 2010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Post-doctoral fellow at the DFG Graduate School “Group Focused Enmity”, Philipps University of Marburg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Jan 2008 – Sep 2008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519" w:type="dxa"/>
          </w:tcPr>
          <w:p w:rsidR="00643FF2" w:rsidRPr="009C0098" w:rsidRDefault="009973BA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Lecturer </w:t>
            </w:r>
            <w:r w:rsidR="00643FF2" w:rsidRPr="009C0098">
              <w:rPr>
                <w:rFonts w:asciiTheme="minorHAnsi" w:hAnsiTheme="minorHAnsi"/>
                <w:sz w:val="22"/>
                <w:szCs w:val="22"/>
                <w:lang w:val="en-US"/>
              </w:rPr>
              <w:t>at the Department of Social Psychology, Friedrich Schiller University of Jena</w:t>
            </w:r>
          </w:p>
        </w:tc>
      </w:tr>
      <w:tr w:rsidR="00643FF2" w:rsidRPr="009C0098" w:rsidTr="00FA2D43">
        <w:tc>
          <w:tcPr>
            <w:tcW w:w="2518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Jan 2005 – Dec 2007</w:t>
            </w:r>
          </w:p>
        </w:tc>
        <w:tc>
          <w:tcPr>
            <w:tcW w:w="236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519" w:type="dxa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PhD fellow at the DFG Graduate School “Group Focused Enmity”, University of Bielefeld</w:t>
            </w:r>
          </w:p>
        </w:tc>
      </w:tr>
    </w:tbl>
    <w:p w:rsidR="00FA2D43" w:rsidRDefault="00FA2D43">
      <w:r>
        <w:br w:type="page"/>
      </w:r>
    </w:p>
    <w:tbl>
      <w:tblPr>
        <w:tblW w:w="9288" w:type="dxa"/>
        <w:tblLayout w:type="fixed"/>
        <w:tblLook w:val="01E0" w:firstRow="1" w:lastRow="1" w:firstColumn="1" w:lastColumn="1" w:noHBand="0" w:noVBand="0"/>
      </w:tblPr>
      <w:tblGrid>
        <w:gridCol w:w="2376"/>
        <w:gridCol w:w="142"/>
        <w:gridCol w:w="142"/>
        <w:gridCol w:w="94"/>
        <w:gridCol w:w="6519"/>
        <w:gridCol w:w="15"/>
      </w:tblGrid>
      <w:tr w:rsidR="00643FF2" w:rsidRPr="009C0098" w:rsidTr="00F83589">
        <w:trPr>
          <w:gridAfter w:val="1"/>
          <w:wAfter w:w="15" w:type="dxa"/>
        </w:trPr>
        <w:tc>
          <w:tcPr>
            <w:tcW w:w="9273" w:type="dxa"/>
            <w:gridSpan w:val="5"/>
            <w:shd w:val="clear" w:color="auto" w:fill="BFBFBF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b/>
                <w:sz w:val="22"/>
                <w:szCs w:val="22"/>
              </w:rPr>
            </w:pPr>
            <w:r w:rsidRPr="009C0098">
              <w:rPr>
                <w:rFonts w:asciiTheme="minorHAnsi" w:hAnsiTheme="minorHAnsi"/>
                <w:b/>
                <w:sz w:val="22"/>
                <w:szCs w:val="22"/>
                <w:lang w:val="en-US"/>
              </w:rPr>
              <w:lastRenderedPageBreak/>
              <w:t>Tertiary</w:t>
            </w:r>
            <w:r w:rsidRPr="009C0098">
              <w:rPr>
                <w:rFonts w:asciiTheme="minorHAnsi" w:hAnsiTheme="minorHAnsi"/>
                <w:b/>
                <w:sz w:val="22"/>
                <w:szCs w:val="22"/>
              </w:rPr>
              <w:t xml:space="preserve"> Education</w:t>
            </w:r>
          </w:p>
        </w:tc>
      </w:tr>
      <w:tr w:rsidR="00643FF2" w:rsidRPr="009C0098" w:rsidTr="00C76395">
        <w:trPr>
          <w:gridAfter w:val="1"/>
          <w:wAfter w:w="15" w:type="dxa"/>
        </w:trPr>
        <w:tc>
          <w:tcPr>
            <w:tcW w:w="2518" w:type="dxa"/>
            <w:gridSpan w:val="2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2008</w:t>
            </w:r>
          </w:p>
        </w:tc>
        <w:tc>
          <w:tcPr>
            <w:tcW w:w="236" w:type="dxa"/>
            <w:gridSpan w:val="2"/>
          </w:tcPr>
          <w:p w:rsidR="00643FF2" w:rsidRPr="009C0098" w:rsidRDefault="00643FF2" w:rsidP="00851E74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519" w:type="dxa"/>
          </w:tcPr>
          <w:p w:rsidR="009C0098" w:rsidRPr="009C0098" w:rsidRDefault="00643FF2" w:rsidP="0001737F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Doctorate in Psychology (Dr. phil.), University of Bielefel</w:t>
            </w:r>
            <w:r w:rsidR="0001737F">
              <w:rPr>
                <w:rFonts w:asciiTheme="minorHAnsi" w:hAnsiTheme="minorHAnsi"/>
                <w:sz w:val="22"/>
                <w:szCs w:val="22"/>
                <w:lang w:val="en-US"/>
              </w:rPr>
              <w:t>d, Germany („summa cum laude“)</w:t>
            </w:r>
          </w:p>
        </w:tc>
      </w:tr>
      <w:tr w:rsidR="009C0098" w:rsidRPr="009C0098" w:rsidTr="00C76395">
        <w:trPr>
          <w:gridAfter w:val="1"/>
          <w:wAfter w:w="15" w:type="dxa"/>
        </w:trPr>
        <w:tc>
          <w:tcPr>
            <w:tcW w:w="2518" w:type="dxa"/>
            <w:gridSpan w:val="2"/>
          </w:tcPr>
          <w:p w:rsidR="00FA2D43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2004</w:t>
            </w:r>
          </w:p>
        </w:tc>
        <w:tc>
          <w:tcPr>
            <w:tcW w:w="236" w:type="dxa"/>
            <w:gridSpan w:val="2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9C0098" w:rsidRPr="009C0098" w:rsidRDefault="009C0098" w:rsidP="0001737F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Diploma in Psychology (“with distinct</w:t>
            </w:r>
            <w:r w:rsidR="0001737F">
              <w:rPr>
                <w:rFonts w:asciiTheme="minorHAnsi" w:hAnsiTheme="minorHAnsi"/>
                <w:sz w:val="22"/>
                <w:szCs w:val="22"/>
                <w:lang w:val="en-US"/>
              </w:rPr>
              <w:t>ion”), University of Bielefeld</w:t>
            </w:r>
          </w:p>
        </w:tc>
      </w:tr>
      <w:tr w:rsidR="00FA2D43" w:rsidRPr="009C0098" w:rsidTr="00C76395">
        <w:trPr>
          <w:gridAfter w:val="1"/>
          <w:wAfter w:w="15" w:type="dxa"/>
        </w:trPr>
        <w:tc>
          <w:tcPr>
            <w:tcW w:w="2518" w:type="dxa"/>
            <w:gridSpan w:val="2"/>
          </w:tcPr>
          <w:p w:rsidR="00FA2D43" w:rsidRPr="009C0098" w:rsidRDefault="00FA2D43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1999-2004</w:t>
            </w:r>
          </w:p>
        </w:tc>
        <w:tc>
          <w:tcPr>
            <w:tcW w:w="236" w:type="dxa"/>
            <w:gridSpan w:val="2"/>
          </w:tcPr>
          <w:p w:rsidR="00FA2D43" w:rsidRPr="009C0098" w:rsidRDefault="00FA2D43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FA2D43" w:rsidRDefault="00FA2D43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Psychology studies, University of Bielefeld</w:t>
            </w:r>
          </w:p>
          <w:p w:rsidR="00FA2D43" w:rsidRPr="009C0098" w:rsidRDefault="00FA2D43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</w:tr>
      <w:tr w:rsidR="009C0098" w:rsidRPr="009C0098" w:rsidTr="009E7966">
        <w:tc>
          <w:tcPr>
            <w:tcW w:w="9288" w:type="dxa"/>
            <w:gridSpan w:val="6"/>
            <w:shd w:val="clear" w:color="auto" w:fill="BFBFBF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b/>
                <w:sz w:val="22"/>
                <w:szCs w:val="22"/>
              </w:rPr>
            </w:pPr>
            <w:r w:rsidRPr="009C0098">
              <w:rPr>
                <w:rFonts w:asciiTheme="minorHAnsi" w:hAnsiTheme="minorHAnsi"/>
                <w:b/>
                <w:sz w:val="22"/>
                <w:szCs w:val="22"/>
              </w:rPr>
              <w:t>Awards and Scholarships</w:t>
            </w:r>
          </w:p>
        </w:tc>
      </w:tr>
      <w:tr w:rsidR="009C0098" w:rsidRPr="009C0098" w:rsidTr="009E7966">
        <w:tc>
          <w:tcPr>
            <w:tcW w:w="2376" w:type="dxa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2012</w:t>
            </w:r>
          </w:p>
        </w:tc>
        <w:tc>
          <w:tcPr>
            <w:tcW w:w="284" w:type="dxa"/>
            <w:gridSpan w:val="2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628" w:type="dxa"/>
            <w:gridSpan w:val="3"/>
          </w:tcPr>
          <w:p w:rsidR="009C0098" w:rsidRPr="009C0098" w:rsidRDefault="009C0098" w:rsidP="009E7966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ISPP Junior Scholar Travel Award</w:t>
            </w:r>
          </w:p>
        </w:tc>
      </w:tr>
      <w:tr w:rsidR="009C0098" w:rsidRPr="009C0098" w:rsidTr="009E7966">
        <w:tc>
          <w:tcPr>
            <w:tcW w:w="2376" w:type="dxa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2008</w:t>
            </w:r>
          </w:p>
        </w:tc>
        <w:tc>
          <w:tcPr>
            <w:tcW w:w="284" w:type="dxa"/>
            <w:gridSpan w:val="2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628" w:type="dxa"/>
            <w:gridSpan w:val="3"/>
          </w:tcPr>
          <w:p w:rsidR="009C0098" w:rsidRPr="009C0098" w:rsidRDefault="009C0098" w:rsidP="009E7966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Post-doctoral scholarship from the German Research Foundation (DFG) (full scholarship and maintenance); Graduate School “Group Focused Enmity”, Philipps University of Marburg, Germany</w:t>
            </w:r>
          </w:p>
        </w:tc>
      </w:tr>
      <w:tr w:rsidR="009C0098" w:rsidRPr="009C0098" w:rsidTr="009E7966">
        <w:tc>
          <w:tcPr>
            <w:tcW w:w="2376" w:type="dxa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2005</w:t>
            </w:r>
          </w:p>
        </w:tc>
        <w:tc>
          <w:tcPr>
            <w:tcW w:w="284" w:type="dxa"/>
            <w:gridSpan w:val="2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628" w:type="dxa"/>
            <w:gridSpan w:val="3"/>
          </w:tcPr>
          <w:p w:rsidR="009C0098" w:rsidRPr="009C0098" w:rsidRDefault="009C0098" w:rsidP="009E7966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Scholarship from the German Research Foundation (DFG) for doctoral students (full scholarship and maintenance); Graduate School “Group Focused Enmity”, University of Bielefeld, Germany</w:t>
            </w:r>
          </w:p>
        </w:tc>
      </w:tr>
      <w:tr w:rsidR="009C0098" w:rsidRPr="009C0098" w:rsidTr="009E7966">
        <w:tc>
          <w:tcPr>
            <w:tcW w:w="2376" w:type="dxa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  <w:r w:rsidRPr="009C0098">
              <w:rPr>
                <w:rFonts w:asciiTheme="minorHAnsi" w:hAnsiTheme="minorHAnsi"/>
                <w:sz w:val="22"/>
                <w:szCs w:val="22"/>
              </w:rPr>
              <w:t>2005</w:t>
            </w:r>
          </w:p>
        </w:tc>
        <w:tc>
          <w:tcPr>
            <w:tcW w:w="284" w:type="dxa"/>
            <w:gridSpan w:val="2"/>
          </w:tcPr>
          <w:p w:rsidR="009C0098" w:rsidRPr="009C0098" w:rsidRDefault="009C0098" w:rsidP="009E7966">
            <w:pPr>
              <w:spacing w:before="120"/>
              <w:rPr>
                <w:rFonts w:asciiTheme="minorHAnsi" w:hAnsiTheme="minorHAnsi"/>
                <w:sz w:val="22"/>
                <w:szCs w:val="22"/>
              </w:rPr>
            </w:pPr>
          </w:p>
        </w:tc>
        <w:tc>
          <w:tcPr>
            <w:tcW w:w="6628" w:type="dxa"/>
            <w:gridSpan w:val="3"/>
          </w:tcPr>
          <w:p w:rsidR="009C0098" w:rsidRPr="009C0098" w:rsidRDefault="009C0098" w:rsidP="009E7966">
            <w:pPr>
              <w:autoSpaceDE w:val="0"/>
              <w:autoSpaceDN w:val="0"/>
              <w:adjustRightInd w:val="0"/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Diploma thesis award of the Social Psychology Section of the German Society for Psychology (DGPs)</w:t>
            </w:r>
          </w:p>
        </w:tc>
      </w:tr>
      <w:tr w:rsidR="009C0098" w:rsidRPr="009C0098" w:rsidTr="00C76395">
        <w:trPr>
          <w:gridAfter w:val="1"/>
          <w:wAfter w:w="15" w:type="dxa"/>
        </w:trPr>
        <w:tc>
          <w:tcPr>
            <w:tcW w:w="2518" w:type="dxa"/>
            <w:gridSpan w:val="2"/>
          </w:tcPr>
          <w:p w:rsidR="009C0098" w:rsidRPr="009C0098" w:rsidRDefault="009C0098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236" w:type="dxa"/>
            <w:gridSpan w:val="2"/>
          </w:tcPr>
          <w:p w:rsidR="009C0098" w:rsidRPr="009C0098" w:rsidRDefault="009C0098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  <w:tc>
          <w:tcPr>
            <w:tcW w:w="6519" w:type="dxa"/>
          </w:tcPr>
          <w:p w:rsidR="009C0098" w:rsidRPr="009C0098" w:rsidRDefault="009C0098" w:rsidP="00851E74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</w:tr>
      <w:tr w:rsidR="009C0098" w:rsidRPr="009C0098" w:rsidTr="00F83589">
        <w:tc>
          <w:tcPr>
            <w:tcW w:w="9288" w:type="dxa"/>
            <w:gridSpan w:val="6"/>
            <w:shd w:val="clear" w:color="auto" w:fill="BFBFBF"/>
          </w:tcPr>
          <w:p w:rsidR="009C0098" w:rsidRPr="009C0098" w:rsidRDefault="009C0098" w:rsidP="00BF039B">
            <w:pPr>
              <w:spacing w:before="120"/>
              <w:rPr>
                <w:rFonts w:asciiTheme="minorHAnsi" w:hAnsiTheme="minorHAnsi"/>
                <w:b/>
                <w:sz w:val="22"/>
                <w:szCs w:val="22"/>
              </w:rPr>
            </w:pPr>
            <w:r w:rsidRPr="009C0098">
              <w:rPr>
                <w:rFonts w:asciiTheme="minorHAnsi" w:hAnsiTheme="minorHAnsi"/>
                <w:b/>
                <w:sz w:val="22"/>
                <w:szCs w:val="22"/>
              </w:rPr>
              <w:t xml:space="preserve">Research </w:t>
            </w:r>
            <w:r w:rsidRPr="009C0098">
              <w:rPr>
                <w:rFonts w:asciiTheme="minorHAnsi" w:hAnsiTheme="minorHAnsi"/>
                <w:b/>
                <w:sz w:val="22"/>
                <w:szCs w:val="22"/>
                <w:lang w:val="en-US"/>
              </w:rPr>
              <w:t>Interests</w:t>
            </w:r>
          </w:p>
        </w:tc>
      </w:tr>
      <w:tr w:rsidR="009C0098" w:rsidRPr="009C0098" w:rsidTr="00BF039B">
        <w:tc>
          <w:tcPr>
            <w:tcW w:w="9288" w:type="dxa"/>
            <w:gridSpan w:val="6"/>
            <w:vAlign w:val="center"/>
          </w:tcPr>
          <w:p w:rsidR="009C0098" w:rsidRPr="009C0098" w:rsidRDefault="00725991" w:rsidP="009E7966">
            <w:pPr>
              <w:spacing w:before="120"/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Ideological attitudes (Author</w:t>
            </w:r>
            <w:r w:rsidR="009C0098">
              <w:rPr>
                <w:rFonts w:asciiTheme="minorHAnsi" w:hAnsiTheme="minorHAnsi"/>
                <w:sz w:val="22"/>
                <w:szCs w:val="22"/>
                <w:lang w:val="en-US"/>
              </w:rPr>
              <w:t>i</w:t>
            </w:r>
            <w:r>
              <w:rPr>
                <w:rFonts w:asciiTheme="minorHAnsi" w:hAnsiTheme="minorHAnsi"/>
                <w:sz w:val="22"/>
                <w:szCs w:val="22"/>
                <w:lang w:val="en-US"/>
              </w:rPr>
              <w:t>t</w:t>
            </w:r>
            <w:r w:rsid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arianism, Social Dominance Orientation) </w:t>
            </w:r>
          </w:p>
        </w:tc>
      </w:tr>
      <w:tr w:rsidR="009C0098" w:rsidRPr="009C0098" w:rsidTr="00F858BA">
        <w:tc>
          <w:tcPr>
            <w:tcW w:w="9288" w:type="dxa"/>
            <w:gridSpan w:val="6"/>
            <w:vAlign w:val="center"/>
          </w:tcPr>
          <w:p w:rsidR="009C0098" w:rsidRDefault="009C0098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>Intergroup contact</w:t>
            </w:r>
          </w:p>
          <w:p w:rsidR="009E7966" w:rsidRDefault="009E7966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Fundamental dimensions of social judgment (warmth and competence)</w:t>
            </w:r>
          </w:p>
          <w:p w:rsidR="009E7966" w:rsidRPr="009C0098" w:rsidRDefault="009E7966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Stereotypes, prejudice, and discrimination</w:t>
            </w:r>
          </w:p>
          <w:p w:rsidR="009C0098" w:rsidRDefault="009C0098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 xml:space="preserve">Intergroup conflict and group-based </w:t>
            </w:r>
            <w:r w:rsidRPr="009C0098">
              <w:rPr>
                <w:rFonts w:asciiTheme="minorHAnsi" w:hAnsiTheme="minorHAnsi"/>
                <w:sz w:val="22"/>
                <w:szCs w:val="22"/>
                <w:lang w:val="en-US"/>
              </w:rPr>
              <w:t xml:space="preserve">emotions </w:t>
            </w:r>
          </w:p>
          <w:p w:rsidR="009C0098" w:rsidRDefault="009C0098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Political Psychology</w:t>
            </w:r>
          </w:p>
          <w:p w:rsidR="009C0098" w:rsidRDefault="00951876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/>
                <w:sz w:val="22"/>
                <w:szCs w:val="22"/>
                <w:lang w:val="en-US"/>
              </w:rPr>
              <w:t>Neuroendocrine correlates of social stress and nonverbal behavior</w:t>
            </w:r>
          </w:p>
          <w:p w:rsidR="00951876" w:rsidRPr="009C0098" w:rsidRDefault="00951876" w:rsidP="00FA2D43">
            <w:pPr>
              <w:rPr>
                <w:rFonts w:asciiTheme="minorHAnsi" w:hAnsiTheme="minorHAnsi"/>
                <w:sz w:val="22"/>
                <w:szCs w:val="22"/>
                <w:lang w:val="en-US"/>
              </w:rPr>
            </w:pPr>
          </w:p>
        </w:tc>
      </w:tr>
      <w:tr w:rsidR="000B091B" w:rsidRPr="009C0098" w:rsidTr="00F83589">
        <w:tc>
          <w:tcPr>
            <w:tcW w:w="9288" w:type="dxa"/>
            <w:gridSpan w:val="6"/>
            <w:shd w:val="clear" w:color="auto" w:fill="BFBFBF"/>
          </w:tcPr>
          <w:p w:rsidR="000B091B" w:rsidRPr="009C0098" w:rsidRDefault="00223C5B" w:rsidP="00851E74">
            <w:pPr>
              <w:spacing w:before="120"/>
              <w:rPr>
                <w:rFonts w:asciiTheme="minorHAnsi" w:hAnsiTheme="minorHAnsi"/>
                <w:b/>
                <w:sz w:val="22"/>
                <w:szCs w:val="22"/>
              </w:rPr>
            </w:pPr>
            <w:r>
              <w:rPr>
                <w:rFonts w:asciiTheme="minorHAnsi" w:hAnsiTheme="minorHAnsi"/>
                <w:b/>
                <w:sz w:val="22"/>
                <w:szCs w:val="22"/>
              </w:rPr>
              <w:t>Publications</w:t>
            </w:r>
            <w:r w:rsidR="00CD7F84">
              <w:rPr>
                <w:rFonts w:asciiTheme="minorHAnsi" w:hAnsiTheme="minorHAnsi"/>
                <w:b/>
                <w:sz w:val="22"/>
                <w:szCs w:val="22"/>
              </w:rPr>
              <w:t xml:space="preserve"> in peer-reviewed journals</w:t>
            </w:r>
          </w:p>
        </w:tc>
      </w:tr>
      <w:tr w:rsidR="00E31327" w:rsidRPr="009C0098" w:rsidTr="00BF039B">
        <w:tc>
          <w:tcPr>
            <w:tcW w:w="9288" w:type="dxa"/>
            <w:gridSpan w:val="6"/>
          </w:tcPr>
          <w:p w:rsidR="00E31327" w:rsidRDefault="00E31327" w:rsidP="00BF039B">
            <w:pPr>
              <w:ind w:left="720" w:hanging="720"/>
              <w:jc w:val="both"/>
              <w:rPr>
                <w:rFonts w:asciiTheme="minorHAnsi" w:hAnsiTheme="minorHAnsi"/>
                <w:b/>
                <w:sz w:val="22"/>
                <w:szCs w:val="22"/>
                <w:lang w:val="en-US"/>
              </w:rPr>
            </w:pPr>
          </w:p>
          <w:p w:rsidR="00C6309A" w:rsidRDefault="00C6309A" w:rsidP="00C6309A">
            <w:pPr>
              <w:ind w:left="426" w:hanging="426"/>
              <w:rPr>
                <w:rFonts w:ascii="Calibri" w:hAnsi="Calibri" w:cs="Calibri"/>
                <w:i/>
                <w:sz w:val="22"/>
                <w:szCs w:val="22"/>
              </w:rPr>
            </w:pPr>
            <w:r w:rsidRPr="00CD7F84">
              <w:rPr>
                <w:rFonts w:ascii="Calibri" w:hAnsi="Calibri" w:cs="Calibri"/>
                <w:sz w:val="22"/>
                <w:szCs w:val="22"/>
                <w:lang w:val="de-DE"/>
              </w:rPr>
              <w:t xml:space="preserve">Retelsdorf, J, Schwartz, K., &amp; </w:t>
            </w:r>
            <w:r w:rsidRPr="00CD7F84">
              <w:rPr>
                <w:rFonts w:ascii="Calibri" w:hAnsi="Calibri" w:cs="Calibri"/>
                <w:sz w:val="22"/>
                <w:szCs w:val="22"/>
                <w:u w:val="single"/>
                <w:lang w:val="de-DE"/>
              </w:rPr>
              <w:t>Asbrock, F.</w:t>
            </w:r>
            <w:r w:rsidRPr="00CD7F84">
              <w:rPr>
                <w:rFonts w:ascii="Calibri" w:hAnsi="Calibri" w:cs="Calibri"/>
                <w:sz w:val="22"/>
                <w:szCs w:val="22"/>
                <w:lang w:val="de-DE"/>
              </w:rPr>
              <w:t xml:space="preserve"> (in press). </w:t>
            </w:r>
            <w:r w:rsidRPr="00017F5B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„</w:t>
            </w:r>
            <w:r w:rsidRPr="00017F5B">
              <w:rPr>
                <w:rFonts w:ascii="Calibri" w:hAnsi="Calibri" w:cs="Calibri"/>
                <w:i/>
                <w:sz w:val="22"/>
                <w:szCs w:val="22"/>
              </w:rPr>
              <w:t>Michael can't read!"-Teachers' gender stereotypes and boys' reading self-concept</w:t>
            </w:r>
            <w:r w:rsidRPr="005B3B60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.</w:t>
            </w:r>
            <w:r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 </w:t>
            </w:r>
            <w:r w:rsidRPr="005B3B60">
              <w:rPr>
                <w:rFonts w:ascii="Calibri" w:hAnsi="Calibri" w:cs="Calibri"/>
                <w:i/>
                <w:sz w:val="22"/>
                <w:szCs w:val="22"/>
              </w:rPr>
              <w:t>Journal of Educational Psychology.</w:t>
            </w:r>
          </w:p>
          <w:p w:rsidR="00C6309A" w:rsidRPr="003A087C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GB"/>
              </w:rPr>
            </w:pPr>
            <w:r w:rsidRPr="00C6309A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C6309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Lemmer, G., Becker, J., Koller, J., &amp; Wagner, U. (2014). </w:t>
            </w:r>
            <w:r w:rsidRPr="003A087C">
              <w:rPr>
                <w:rFonts w:ascii="Calibri" w:hAnsi="Calibri" w:cs="Calibri"/>
                <w:sz w:val="22"/>
                <w:szCs w:val="22"/>
                <w:lang w:val="en-US"/>
              </w:rPr>
              <w:t>“</w:t>
            </w:r>
            <w:r w:rsidRPr="003A087C">
              <w:rPr>
                <w:rFonts w:ascii="Calibri" w:hAnsi="Calibri" w:cs="Calibri"/>
                <w:sz w:val="22"/>
                <w:szCs w:val="22"/>
                <w:lang w:val="en-GB"/>
              </w:rPr>
              <w:t xml:space="preserve">Who are these foreigners anyway?” – The content of the term </w:t>
            </w:r>
            <w:r w:rsidRPr="003A087C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foreigner</w:t>
            </w:r>
            <w:r w:rsidRPr="003A087C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and its impact on prejudice. </w:t>
            </w:r>
            <w:r w:rsidRPr="003A087C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Sage Open</w:t>
            </w:r>
            <w:r>
              <w:rPr>
                <w:rFonts w:ascii="Calibri" w:hAnsi="Calibri" w:cs="Calibri"/>
                <w:i/>
                <w:sz w:val="22"/>
                <w:szCs w:val="22"/>
                <w:lang w:val="en-GB"/>
              </w:rPr>
              <w:t xml:space="preserve">, 4(2), </w:t>
            </w:r>
            <w:r w:rsidRPr="00EF1688">
              <w:rPr>
                <w:rFonts w:ascii="Calibri" w:hAnsi="Calibri" w:cs="Calibri"/>
                <w:sz w:val="22"/>
                <w:szCs w:val="22"/>
                <w:lang w:val="en-GB"/>
              </w:rPr>
              <w:t>1-8</w:t>
            </w:r>
            <w:r w:rsidRPr="003A087C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.</w:t>
            </w:r>
          </w:p>
          <w:p w:rsidR="00C6309A" w:rsidRPr="003A087C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6309A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C6309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&amp; Fritsche, I. (2013). </w:t>
            </w:r>
            <w:r w:rsidRPr="003A087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Authoritarian reactions to terrorist threat: Who is threatened, the Me or the We? </w:t>
            </w:r>
            <w:r w:rsidRPr="003A087C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International Journal of Psychology, 48</w:t>
            </w:r>
            <w:r w:rsidRPr="003A087C">
              <w:rPr>
                <w:rFonts w:ascii="Calibri" w:hAnsi="Calibri" w:cs="Calibri"/>
                <w:sz w:val="22"/>
                <w:szCs w:val="22"/>
                <w:lang w:val="en-US"/>
              </w:rPr>
              <w:t>, 35-49.</w:t>
            </w:r>
          </w:p>
          <w:p w:rsidR="00C6309A" w:rsidRPr="009F113F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3A087C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3A087C">
              <w:rPr>
                <w:rFonts w:ascii="Calibri" w:hAnsi="Calibri" w:cs="Calibri"/>
                <w:sz w:val="22"/>
                <w:szCs w:val="22"/>
                <w:lang w:val="en-US"/>
              </w:rPr>
              <w:t>, Gutenbrunner, L., &amp; Wagner, U. (2013). Unwilling, but not unaffected – Imagined contact effects for authoritarians</w:t>
            </w:r>
            <w:r w:rsidRPr="004116B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and social dominators. </w:t>
            </w:r>
            <w:r w:rsidRPr="004116B7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Europe</w:t>
            </w:r>
            <w:r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an Journal of Social Psychology, 43,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404-412.</w:t>
            </w:r>
          </w:p>
          <w:p w:rsidR="00C6309A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sz w:val="22"/>
                <w:szCs w:val="22"/>
                <w:lang w:val="de-DE"/>
              </w:rPr>
            </w:pPr>
            <w:r w:rsidRPr="00C15B90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Christ, O., </w:t>
            </w:r>
            <w:r w:rsidRPr="00C15B90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C15B90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Dhont, K., Pettigrew, T.F. &amp; Wagner, U. (2013). The effects of the intergroup climate on immigrants' acculturation preferences. </w:t>
            </w:r>
            <w:r w:rsidRPr="00C15B90">
              <w:rPr>
                <w:rFonts w:ascii="Calibri" w:hAnsi="Calibri" w:cs="Calibri"/>
                <w:i/>
                <w:sz w:val="22"/>
                <w:szCs w:val="22"/>
                <w:lang w:val="de-DE"/>
              </w:rPr>
              <w:t>Zeitschrift für Psychologie, 221</w:t>
            </w:r>
            <w:r w:rsidRPr="00C15B90">
              <w:rPr>
                <w:rFonts w:ascii="Calibri" w:hAnsi="Calibri" w:cs="Calibri"/>
                <w:sz w:val="22"/>
                <w:szCs w:val="22"/>
                <w:lang w:val="de-DE"/>
              </w:rPr>
              <w:t>, 252–257.</w:t>
            </w:r>
          </w:p>
          <w:p w:rsidR="00C6309A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D7F84">
              <w:rPr>
                <w:rFonts w:ascii="Calibri" w:hAnsi="Calibri" w:cs="Calibri"/>
                <w:sz w:val="22"/>
                <w:szCs w:val="22"/>
                <w:lang w:val="en-US"/>
              </w:rPr>
              <w:t xml:space="preserve">Durante, F., Fiske, S. T., Kervyn, N., Cuddy, A. J. C., ... </w:t>
            </w:r>
            <w:r w:rsidRPr="00CD7F84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6F8C">
              <w:rPr>
                <w:rFonts w:ascii="Calibri" w:hAnsi="Calibri" w:cs="Calibri"/>
                <w:sz w:val="22"/>
                <w:szCs w:val="22"/>
                <w:lang w:val="en-US"/>
              </w:rPr>
              <w:t>, &amp; Storari, C. C. (2013), Nations' income inequality predicts ambivalence in stereotype content: How societies mind the gap. British Journal of Social Psychology, 52, 726–746.</w:t>
            </w:r>
          </w:p>
          <w:p w:rsidR="00C6309A" w:rsidRPr="002A2648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eastAsia="Calibri" w:hAnsi="Calibri" w:cs="Calibri"/>
                <w:bCs/>
                <w:sz w:val="22"/>
                <w:szCs w:val="22"/>
                <w:lang w:val="en-US" w:eastAsia="de-DE"/>
              </w:rPr>
            </w:pPr>
            <w:r w:rsidRPr="00C6309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Kauff, M., </w:t>
            </w:r>
            <w:r w:rsidRPr="00C6309A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C6309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Thörner, S., &amp; Wagner, U. (2013). </w:t>
            </w:r>
            <w:r w:rsidRPr="00FE74B3">
              <w:rPr>
                <w:rFonts w:ascii="Calibri" w:eastAsia="Calibri" w:hAnsi="Calibri" w:cs="Calibri"/>
                <w:bCs/>
                <w:sz w:val="22"/>
                <w:szCs w:val="22"/>
                <w:lang w:val="en-US" w:eastAsia="de-DE"/>
              </w:rPr>
              <w:t>Side effects of multiculturalism - The interaction effect of a multicultural ideology and authoritarianism on prejudice and diversity beliefs</w:t>
            </w:r>
            <w:r w:rsidRPr="00FE74B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. </w:t>
            </w:r>
            <w:r w:rsidRPr="002A2648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Personality and Social Psychology Bulletin</w:t>
            </w:r>
            <w:r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, 39, </w:t>
            </w:r>
            <w:r w:rsidRPr="002F0A0E">
              <w:rPr>
                <w:rFonts w:ascii="Calibri" w:hAnsi="Calibri" w:cs="Calibri"/>
                <w:sz w:val="22"/>
                <w:szCs w:val="22"/>
                <w:lang w:val="en-US"/>
              </w:rPr>
              <w:t>305-320</w:t>
            </w:r>
            <w:r w:rsidRPr="002A2648"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</w:p>
          <w:p w:rsidR="00C6309A" w:rsidRPr="00FA4BE3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NZ"/>
              </w:rPr>
            </w:pPr>
            <w:r w:rsidRPr="00041F8A">
              <w:rPr>
                <w:rFonts w:ascii="Calibri" w:hAnsi="Calibri" w:cs="Calibri"/>
                <w:sz w:val="22"/>
                <w:szCs w:val="22"/>
                <w:lang w:val="en-US"/>
              </w:rPr>
              <w:t>Sibley,</w:t>
            </w:r>
            <w:r w:rsidRPr="00041F8A">
              <w:rPr>
                <w:rFonts w:ascii="Calibri" w:hAnsi="Calibri" w:cs="Calibri"/>
                <w:sz w:val="22"/>
                <w:szCs w:val="22"/>
                <w:vertAlign w:val="superscript"/>
                <w:lang w:val="en-US"/>
              </w:rPr>
              <w:t xml:space="preserve"> </w:t>
            </w:r>
            <w:r w:rsidRPr="00041F8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C. G., Duckitt, J., Bergh, R., Osborne, D., Perry, R., </w:t>
            </w:r>
            <w:r w:rsidRPr="00041F8A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041F8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Robertson. A., Armstrong, G., </w:t>
            </w:r>
            <w:r w:rsidRPr="00041F8A">
              <w:rPr>
                <w:rFonts w:ascii="Calibri" w:hAnsi="Calibri" w:cs="Calibri"/>
                <w:sz w:val="22"/>
                <w:szCs w:val="22"/>
                <w:lang w:val="en-US"/>
              </w:rPr>
              <w:lastRenderedPageBreak/>
              <w:t xml:space="preserve">Wilson, M. S., &amp; Barlow, F. K. (2013). A dual process model of attitudes towards immigration: Person x residential area effects in a national sample. </w:t>
            </w:r>
            <w:r w:rsidRPr="00041F8A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Political Psychology, 34, </w:t>
            </w:r>
            <w:r w:rsidRPr="00041F8A">
              <w:rPr>
                <w:rFonts w:ascii="Calibri" w:hAnsi="Calibri" w:cs="Calibri"/>
                <w:sz w:val="22"/>
                <w:szCs w:val="22"/>
                <w:lang w:val="en-US"/>
              </w:rPr>
              <w:t>553-572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.</w:t>
            </w:r>
          </w:p>
          <w:p w:rsidR="00C6309A" w:rsidRPr="001D7D7C" w:rsidRDefault="00C6309A" w:rsidP="00C6309A">
            <w:pPr>
              <w:ind w:left="426" w:hanging="426"/>
              <w:rPr>
                <w:rFonts w:ascii="Calibri" w:hAnsi="Calibri" w:cs="Calibri"/>
                <w:i/>
                <w:sz w:val="22"/>
                <w:szCs w:val="22"/>
                <w:lang w:val="en-GB"/>
              </w:rPr>
            </w:pP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Christ. 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O., Duckitt, J</w:t>
            </w:r>
            <w:r w:rsidRPr="001D7D7C">
              <w:rPr>
                <w:rFonts w:ascii="Calibri" w:hAnsi="Calibri" w:cs="Calibri"/>
                <w:sz w:val="22"/>
                <w:szCs w:val="22"/>
                <w:lang w:val="en-GB"/>
              </w:rPr>
              <w:t xml:space="preserve">., &amp; Sibley, C. G. (2012). </w:t>
            </w:r>
            <w:r w:rsidRPr="001D7D7C">
              <w:rPr>
                <w:rFonts w:ascii="Calibri" w:hAnsi="Calibri" w:cs="Calibri"/>
                <w:sz w:val="22"/>
                <w:szCs w:val="22"/>
                <w:lang w:val="en-NZ"/>
              </w:rPr>
              <w:t>Differential effects of intergroup contact for authoritarians and social dominators: A Dual Process Model perspective</w:t>
            </w:r>
            <w:r w:rsidRPr="001D7D7C">
              <w:rPr>
                <w:rFonts w:ascii="Calibri" w:hAnsi="Calibri" w:cs="Calibri"/>
                <w:sz w:val="22"/>
                <w:szCs w:val="22"/>
                <w:lang w:val="en-GB"/>
              </w:rPr>
              <w:t>.</w:t>
            </w:r>
            <w:r w:rsidRPr="001D7D7C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 xml:space="preserve"> </w:t>
            </w:r>
            <w:r w:rsidRPr="001D7D7C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Personality and Social Psychology Bulletin,</w:t>
            </w:r>
            <w:r w:rsidRPr="001D7D7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1D7D7C">
              <w:rPr>
                <w:rStyle w:val="Emphasis"/>
                <w:rFonts w:ascii="Calibri" w:hAnsi="Calibri" w:cs="Calibri"/>
                <w:sz w:val="22"/>
                <w:szCs w:val="22"/>
              </w:rPr>
              <w:t>38,</w:t>
            </w:r>
            <w:r w:rsidRPr="001D7D7C">
              <w:rPr>
                <w:rFonts w:ascii="Calibri" w:hAnsi="Calibri" w:cs="Calibri"/>
                <w:sz w:val="22"/>
                <w:szCs w:val="22"/>
              </w:rPr>
              <w:t xml:space="preserve"> 477-490</w:t>
            </w:r>
            <w:r w:rsidRPr="001D7D7C"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</w:p>
          <w:p w:rsidR="00C6309A" w:rsidRPr="001D7D7C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NZ"/>
              </w:rPr>
            </w:pPr>
            <w:r w:rsidRPr="001D7D7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Becker, J. C. &amp; </w:t>
            </w:r>
            <w:r w:rsidRPr="001D7D7C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1D7D7C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(2012). What triggers helping versus harming of ambivalent groups? </w:t>
            </w:r>
            <w:r w:rsidRPr="001D7D7C">
              <w:rPr>
                <w:rFonts w:ascii="Calibri" w:hAnsi="Calibri" w:cs="Calibri"/>
                <w:bCs/>
                <w:iCs/>
                <w:sz w:val="22"/>
                <w:szCs w:val="22"/>
                <w:lang w:val="en-US"/>
              </w:rPr>
              <w:t>Effects of warmth and competence on helping and harming warm but incompetent and cold but competent groups.</w:t>
            </w:r>
            <w:r w:rsidRPr="001D7D7C">
              <w:rPr>
                <w:rFonts w:ascii="Calibri" w:hAnsi="Calibri" w:cs="Calibri"/>
                <w:bCs/>
                <w:i/>
                <w:iCs/>
                <w:sz w:val="22"/>
                <w:szCs w:val="22"/>
                <w:lang w:val="en-US"/>
              </w:rPr>
              <w:t xml:space="preserve"> Journal of Experimental Social Psychology, 48, </w:t>
            </w:r>
            <w:r w:rsidRPr="001D7D7C">
              <w:rPr>
                <w:rFonts w:ascii="Calibri" w:hAnsi="Calibri" w:cs="Calibri"/>
                <w:bCs/>
                <w:iCs/>
                <w:sz w:val="22"/>
                <w:szCs w:val="22"/>
                <w:lang w:val="en-US"/>
              </w:rPr>
              <w:t xml:space="preserve">19-27. </w:t>
            </w:r>
          </w:p>
          <w:p w:rsidR="00C6309A" w:rsidRPr="009F4F66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1D7D7C">
              <w:rPr>
                <w:rFonts w:ascii="Calibri" w:hAnsi="Calibri" w:cs="Calibri"/>
                <w:sz w:val="22"/>
                <w:szCs w:val="22"/>
                <w:lang w:val="en-GB"/>
              </w:rPr>
              <w:t xml:space="preserve">Cohrs, J. C., </w:t>
            </w:r>
            <w:r w:rsidRPr="001D7D7C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1D7D7C">
              <w:rPr>
                <w:rFonts w:ascii="Calibri" w:hAnsi="Calibri" w:cs="Calibri"/>
                <w:sz w:val="22"/>
                <w:szCs w:val="22"/>
                <w:lang w:val="en-GB"/>
              </w:rPr>
              <w:t xml:space="preserve">, &amp; </w:t>
            </w:r>
            <w:r w:rsidRPr="001D7D7C">
              <w:rPr>
                <w:rFonts w:ascii="Calibri" w:hAnsi="Calibri" w:cs="Calibri"/>
                <w:sz w:val="22"/>
                <w:szCs w:val="22"/>
                <w:lang w:val="en-US"/>
              </w:rPr>
              <w:t>Sibley, C.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G. 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(</w:t>
            </w:r>
            <w:r>
              <w:rPr>
                <w:rFonts w:ascii="Calibri" w:hAnsi="Calibri" w:cs="Calibri"/>
                <w:sz w:val="22"/>
                <w:szCs w:val="22"/>
                <w:lang w:val="en-GB"/>
              </w:rPr>
              <w:t>2012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).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Friend or foe, champ or chump? Social conformity and superiority goals activate warmth- versus competence-based social categorization schemas.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Social Psychological and Personality Science</w:t>
            </w:r>
            <w:r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, 3, </w:t>
            </w:r>
            <w:r w:rsidRPr="001552CE">
              <w:rPr>
                <w:rFonts w:ascii="Calibri" w:hAnsi="Calibri" w:cs="Calibri"/>
                <w:sz w:val="22"/>
                <w:szCs w:val="22"/>
                <w:lang w:val="en-US"/>
              </w:rPr>
              <w:t>471-478.</w:t>
            </w:r>
          </w:p>
          <w:p w:rsidR="00C6309A" w:rsidRPr="00FA4BE3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NZ"/>
              </w:rPr>
            </w:pP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GB"/>
              </w:rPr>
              <w:t>Asbrock, F.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,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Nieuwoudt, C. Duckitt, J., &amp; Sibley, C. G. (2011). Societal Stereotypes and the legitimation of intergroup behaviour in Germany and New Zealand.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Analysis of Social Issues and Public Policy, 11,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154-179.</w:t>
            </w:r>
          </w:p>
          <w:p w:rsidR="00C6309A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/>
              </w:rPr>
            </w:pPr>
            <w:r w:rsidRPr="00FA4BE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Sibley, C. G., Stewart, K., Houkamau, C., Manuela, S., Perry, R., Wootton, L., Harding, J. F., Zhang, Y., Sengupta, N., Robertson, A., Hoverd, W. J., West-Newman, T., &amp; </w:t>
            </w: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4BE3"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 xml:space="preserve"> (2011). Ethnic group stereotypes in New Zealand. </w:t>
            </w:r>
            <w:r w:rsidRPr="00FA4BE3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/>
              </w:rPr>
              <w:t xml:space="preserve">New Zealand Journal of Psychology, 40, </w:t>
            </w:r>
            <w:r w:rsidRPr="00FA4BE3">
              <w:rPr>
                <w:rFonts w:ascii="Calibri" w:hAnsi="Calibri" w:cs="Calibri"/>
                <w:iCs/>
                <w:color w:val="000000"/>
                <w:sz w:val="22"/>
                <w:szCs w:val="22"/>
                <w:lang w:val="en-US"/>
              </w:rPr>
              <w:t>25-36</w:t>
            </w:r>
            <w:r w:rsidRPr="00FA4BE3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  <w:lang w:val="en-US"/>
              </w:rPr>
              <w:t>.</w:t>
            </w:r>
          </w:p>
          <w:p w:rsidR="00C6309A" w:rsidRPr="00FA4BE3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C6309A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C6309A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(2010).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Stereotypes of social groups in Germany in terms of warmth and competence.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Social Psychology, 41,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76-81.</w:t>
            </w:r>
          </w:p>
          <w:p w:rsidR="00C6309A" w:rsidRPr="00FA4BE3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, Sibley, C. G., &amp; Duckitt, J. (2010). </w:t>
            </w:r>
            <w:r>
              <w:rPr>
                <w:rFonts w:ascii="Calibri" w:hAnsi="Calibri" w:cs="Calibri"/>
                <w:sz w:val="22"/>
                <w:szCs w:val="22"/>
                <w:lang w:val="en-US"/>
              </w:rPr>
              <w:t>Right-wing authoritarianism, s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ocial dominance orientation and the dimensions of generalized prejudice: A longitudinal test.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 European Journal of Personality, 24, </w:t>
            </w:r>
            <w:r w:rsidRPr="00FA4BE3">
              <w:rPr>
                <w:rFonts w:ascii="Calibri" w:hAnsi="Calibri" w:cs="Calibri"/>
                <w:color w:val="231F20"/>
                <w:sz w:val="22"/>
                <w:szCs w:val="22"/>
                <w:lang w:val="en-GB"/>
              </w:rPr>
              <w:t>324–340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.</w:t>
            </w:r>
          </w:p>
          <w:p w:rsidR="00C6309A" w:rsidRPr="00FA4BE3" w:rsidRDefault="00C6309A" w:rsidP="00C6309A">
            <w:pPr>
              <w:autoSpaceDE w:val="0"/>
              <w:autoSpaceDN w:val="0"/>
              <w:adjustRightInd w:val="0"/>
              <w:ind w:left="426" w:hanging="426"/>
              <w:rPr>
                <w:rFonts w:ascii="Calibri" w:hAnsi="Calibri" w:cs="Calibri"/>
                <w:i/>
                <w:sz w:val="22"/>
                <w:szCs w:val="22"/>
                <w:lang w:val="en-US"/>
              </w:rPr>
            </w:pP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Sibley, C. G., Harding, J. F., Perry, R., </w:t>
            </w: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, &amp; Duckitt, J. (2010). Personality and 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prejudice: Extension to the HEXACO personality model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.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 xml:space="preserve">European Journal of Personality, 24,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515-534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US"/>
              </w:rPr>
              <w:t>.</w:t>
            </w:r>
          </w:p>
          <w:p w:rsidR="00C6309A" w:rsidRPr="003F5941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NZ"/>
              </w:rPr>
            </w:pPr>
            <w:r w:rsidRPr="006E2FF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Cohrs, J. C. &amp; </w:t>
            </w:r>
            <w:r w:rsidRPr="006E2FF7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6E2FF7">
              <w:rPr>
                <w:rFonts w:ascii="Calibri" w:hAnsi="Calibri" w:cs="Calibri"/>
                <w:sz w:val="22"/>
                <w:szCs w:val="22"/>
                <w:lang w:val="en-US"/>
              </w:rPr>
              <w:t xml:space="preserve"> (2009).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 xml:space="preserve">Right-wing authoritarianism, social dominance orientation, and ethnic prejudice against threatening and competitive groups.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 xml:space="preserve">European Journal of Social Psychology, 39, 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270 - 289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 xml:space="preserve">. </w:t>
            </w:r>
          </w:p>
          <w:p w:rsidR="00223C5B" w:rsidRDefault="00C6309A" w:rsidP="00C6309A">
            <w:pPr>
              <w:ind w:left="426" w:hanging="426"/>
              <w:rPr>
                <w:rFonts w:ascii="Calibri" w:hAnsi="Calibri" w:cs="Calibri"/>
                <w:sz w:val="22"/>
                <w:szCs w:val="22"/>
                <w:lang w:val="en-US"/>
              </w:rPr>
            </w:pPr>
            <w:r w:rsidRPr="00FA4BE3">
              <w:rPr>
                <w:rFonts w:ascii="Calibri" w:hAnsi="Calibri" w:cs="Calibri"/>
                <w:sz w:val="22"/>
                <w:szCs w:val="22"/>
                <w:u w:val="single"/>
                <w:lang w:val="en-US"/>
              </w:rPr>
              <w:t>Asbrock, F.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, Christ, O., &amp; Wagner, U. (2007). </w:t>
            </w:r>
            <w:r w:rsidRPr="00FA4BE3">
              <w:rPr>
                <w:rFonts w:ascii="Calibri" w:hAnsi="Calibri" w:cs="Calibri"/>
                <w:sz w:val="22"/>
                <w:szCs w:val="22"/>
                <w:lang w:val="en-US"/>
              </w:rPr>
              <w:t>The road to negative behavior – Discriminatory intentions in the German population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 xml:space="preserve">. </w:t>
            </w:r>
            <w:r w:rsidRPr="00FA4BE3">
              <w:rPr>
                <w:rFonts w:ascii="Calibri" w:hAnsi="Calibri" w:cs="Calibri"/>
                <w:i/>
                <w:sz w:val="22"/>
                <w:szCs w:val="22"/>
                <w:lang w:val="en-GB"/>
              </w:rPr>
              <w:t>International Journal of Conflict and Violence, 1</w:t>
            </w:r>
            <w:r w:rsidRPr="00FA4BE3">
              <w:rPr>
                <w:rFonts w:ascii="Calibri" w:hAnsi="Calibri" w:cs="Calibri"/>
                <w:sz w:val="22"/>
                <w:szCs w:val="22"/>
                <w:lang w:val="en-GB"/>
              </w:rPr>
              <w:t>, 4-18.</w:t>
            </w:r>
          </w:p>
          <w:p w:rsidR="00133D68" w:rsidRPr="00223C5B" w:rsidRDefault="00133D68" w:rsidP="008874C6">
            <w:pPr>
              <w:rPr>
                <w:rFonts w:ascii="Calibri" w:hAnsi="Calibri" w:cs="Calibri"/>
                <w:sz w:val="22"/>
                <w:szCs w:val="22"/>
                <w:lang w:val="en-US"/>
              </w:rPr>
            </w:pPr>
          </w:p>
          <w:p w:rsidR="00346F2F" w:rsidRPr="009C0098" w:rsidRDefault="00346F2F" w:rsidP="00C6309A">
            <w:pPr>
              <w:jc w:val="both"/>
              <w:rPr>
                <w:rFonts w:asciiTheme="minorHAnsi" w:hAnsiTheme="minorHAnsi"/>
                <w:sz w:val="22"/>
                <w:szCs w:val="22"/>
                <w:lang w:val="de-DE"/>
              </w:rPr>
            </w:pPr>
          </w:p>
        </w:tc>
      </w:tr>
      <w:tr w:rsidR="00DE2793" w:rsidRPr="00D74A1C" w:rsidTr="009E7966">
        <w:tc>
          <w:tcPr>
            <w:tcW w:w="9288" w:type="dxa"/>
            <w:gridSpan w:val="6"/>
            <w:shd w:val="clear" w:color="auto" w:fill="auto"/>
          </w:tcPr>
          <w:p w:rsidR="00DE2793" w:rsidRPr="00FA124D" w:rsidRDefault="00DE2793" w:rsidP="009E7966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D96031" w:rsidRPr="00D12AC5" w:rsidRDefault="00D96031">
      <w:pPr>
        <w:rPr>
          <w:rFonts w:asciiTheme="minorHAnsi" w:hAnsiTheme="minorHAnsi"/>
          <w:sz w:val="22"/>
          <w:szCs w:val="22"/>
          <w:lang w:val="en-US"/>
        </w:rPr>
      </w:pPr>
    </w:p>
    <w:sectPr w:rsidR="00D96031" w:rsidRPr="00D12AC5" w:rsidSect="0049310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A2A" w:rsidRDefault="00366A2A" w:rsidP="000B091B">
      <w:r>
        <w:separator/>
      </w:r>
    </w:p>
  </w:endnote>
  <w:endnote w:type="continuationSeparator" w:id="0">
    <w:p w:rsidR="00366A2A" w:rsidRDefault="00366A2A" w:rsidP="000B0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24D" w:rsidRDefault="00FA124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744C" w:rsidRPr="00FA124D" w:rsidRDefault="00522930">
    <w:pPr>
      <w:pStyle w:val="Footer"/>
      <w:jc w:val="right"/>
      <w:rPr>
        <w:rFonts w:asciiTheme="minorHAnsi" w:hAnsiTheme="minorHAnsi" w:cstheme="minorHAnsi"/>
        <w:sz w:val="22"/>
        <w:szCs w:val="22"/>
      </w:rPr>
    </w:pPr>
    <w:r w:rsidRPr="00FA124D">
      <w:rPr>
        <w:rFonts w:asciiTheme="minorHAnsi" w:hAnsiTheme="minorHAnsi" w:cstheme="minorHAnsi"/>
        <w:sz w:val="22"/>
        <w:szCs w:val="22"/>
      </w:rPr>
      <w:fldChar w:fldCharType="begin"/>
    </w:r>
    <w:r w:rsidR="00F4744C" w:rsidRPr="00FA124D">
      <w:rPr>
        <w:rFonts w:asciiTheme="minorHAnsi" w:hAnsiTheme="minorHAnsi" w:cstheme="minorHAnsi"/>
        <w:sz w:val="22"/>
        <w:szCs w:val="22"/>
      </w:rPr>
      <w:instrText>PAGE   \* MERGEFORMAT</w:instrText>
    </w:r>
    <w:r w:rsidRPr="00FA124D">
      <w:rPr>
        <w:rFonts w:asciiTheme="minorHAnsi" w:hAnsiTheme="minorHAnsi" w:cstheme="minorHAnsi"/>
        <w:sz w:val="22"/>
        <w:szCs w:val="22"/>
      </w:rPr>
      <w:fldChar w:fldCharType="separate"/>
    </w:r>
    <w:r w:rsidR="00FA50FA" w:rsidRPr="00FA50FA">
      <w:rPr>
        <w:rFonts w:asciiTheme="minorHAnsi" w:hAnsiTheme="minorHAnsi" w:cstheme="minorHAnsi"/>
        <w:noProof/>
        <w:sz w:val="22"/>
        <w:szCs w:val="22"/>
        <w:lang w:val="de-DE"/>
      </w:rPr>
      <w:t>1</w:t>
    </w:r>
    <w:r w:rsidRPr="00FA124D">
      <w:rPr>
        <w:rFonts w:asciiTheme="minorHAnsi" w:hAnsiTheme="minorHAnsi" w:cstheme="minorHAnsi"/>
        <w:noProof/>
        <w:sz w:val="22"/>
        <w:szCs w:val="22"/>
        <w:lang w:val="de-DE"/>
      </w:rPr>
      <w:fldChar w:fldCharType="end"/>
    </w:r>
  </w:p>
  <w:p w:rsidR="00F4744C" w:rsidRDefault="00F4744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24D" w:rsidRDefault="00FA124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A2A" w:rsidRDefault="00366A2A" w:rsidP="000B091B">
      <w:r>
        <w:separator/>
      </w:r>
    </w:p>
  </w:footnote>
  <w:footnote w:type="continuationSeparator" w:id="0">
    <w:p w:rsidR="00366A2A" w:rsidRDefault="00366A2A" w:rsidP="000B09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24D" w:rsidRDefault="00FA124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24D" w:rsidRDefault="00FA124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124D" w:rsidRDefault="00FA12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86D"/>
    <w:rsid w:val="000100F4"/>
    <w:rsid w:val="0001737F"/>
    <w:rsid w:val="00051ABC"/>
    <w:rsid w:val="000775FA"/>
    <w:rsid w:val="00093E3B"/>
    <w:rsid w:val="0009662E"/>
    <w:rsid w:val="000A759E"/>
    <w:rsid w:val="000B091B"/>
    <w:rsid w:val="000B173F"/>
    <w:rsid w:val="001054F8"/>
    <w:rsid w:val="00122855"/>
    <w:rsid w:val="00133D68"/>
    <w:rsid w:val="0013512A"/>
    <w:rsid w:val="00170CEB"/>
    <w:rsid w:val="001E4BA5"/>
    <w:rsid w:val="00201458"/>
    <w:rsid w:val="00223C5B"/>
    <w:rsid w:val="00224701"/>
    <w:rsid w:val="002533B5"/>
    <w:rsid w:val="00257978"/>
    <w:rsid w:val="002C5597"/>
    <w:rsid w:val="002C567F"/>
    <w:rsid w:val="002D1A9E"/>
    <w:rsid w:val="002E1502"/>
    <w:rsid w:val="002E396D"/>
    <w:rsid w:val="002E3DF5"/>
    <w:rsid w:val="00341D53"/>
    <w:rsid w:val="00346F2F"/>
    <w:rsid w:val="003525AE"/>
    <w:rsid w:val="00362853"/>
    <w:rsid w:val="00366A2A"/>
    <w:rsid w:val="0037463D"/>
    <w:rsid w:val="00377157"/>
    <w:rsid w:val="003905CA"/>
    <w:rsid w:val="00394867"/>
    <w:rsid w:val="00395DC8"/>
    <w:rsid w:val="003B0393"/>
    <w:rsid w:val="003B2883"/>
    <w:rsid w:val="003B6981"/>
    <w:rsid w:val="004028C7"/>
    <w:rsid w:val="00403D0D"/>
    <w:rsid w:val="00411BED"/>
    <w:rsid w:val="004138C1"/>
    <w:rsid w:val="00471D62"/>
    <w:rsid w:val="00473DF4"/>
    <w:rsid w:val="00484818"/>
    <w:rsid w:val="00493100"/>
    <w:rsid w:val="004C2FDB"/>
    <w:rsid w:val="004D2714"/>
    <w:rsid w:val="004E3A35"/>
    <w:rsid w:val="004F3110"/>
    <w:rsid w:val="005108F4"/>
    <w:rsid w:val="0051130C"/>
    <w:rsid w:val="00514B06"/>
    <w:rsid w:val="0052222F"/>
    <w:rsid w:val="00522930"/>
    <w:rsid w:val="00532172"/>
    <w:rsid w:val="00542A5A"/>
    <w:rsid w:val="005773C2"/>
    <w:rsid w:val="00593360"/>
    <w:rsid w:val="005A0994"/>
    <w:rsid w:val="005A2AEC"/>
    <w:rsid w:val="005A5A16"/>
    <w:rsid w:val="005A724C"/>
    <w:rsid w:val="005A75C4"/>
    <w:rsid w:val="005B23FC"/>
    <w:rsid w:val="005D24D3"/>
    <w:rsid w:val="005D6870"/>
    <w:rsid w:val="005F282C"/>
    <w:rsid w:val="0060059E"/>
    <w:rsid w:val="00601B87"/>
    <w:rsid w:val="0062237E"/>
    <w:rsid w:val="006314B6"/>
    <w:rsid w:val="006368BE"/>
    <w:rsid w:val="006418C8"/>
    <w:rsid w:val="00643FF2"/>
    <w:rsid w:val="00645FF1"/>
    <w:rsid w:val="006601D2"/>
    <w:rsid w:val="0066113D"/>
    <w:rsid w:val="0066534A"/>
    <w:rsid w:val="0067586D"/>
    <w:rsid w:val="006949A9"/>
    <w:rsid w:val="006C1B86"/>
    <w:rsid w:val="006E32FE"/>
    <w:rsid w:val="006E392B"/>
    <w:rsid w:val="00706464"/>
    <w:rsid w:val="007150F0"/>
    <w:rsid w:val="00725991"/>
    <w:rsid w:val="00772198"/>
    <w:rsid w:val="00776A83"/>
    <w:rsid w:val="00793C97"/>
    <w:rsid w:val="007B0963"/>
    <w:rsid w:val="007C0056"/>
    <w:rsid w:val="007F3F37"/>
    <w:rsid w:val="00851E74"/>
    <w:rsid w:val="00860382"/>
    <w:rsid w:val="008677BA"/>
    <w:rsid w:val="008874C6"/>
    <w:rsid w:val="008B5040"/>
    <w:rsid w:val="008B6DFA"/>
    <w:rsid w:val="008C73D9"/>
    <w:rsid w:val="008C771E"/>
    <w:rsid w:val="008E63ED"/>
    <w:rsid w:val="008F6FF4"/>
    <w:rsid w:val="00911651"/>
    <w:rsid w:val="0092326B"/>
    <w:rsid w:val="00943547"/>
    <w:rsid w:val="00951876"/>
    <w:rsid w:val="00954297"/>
    <w:rsid w:val="0096725B"/>
    <w:rsid w:val="0097779E"/>
    <w:rsid w:val="00991C1C"/>
    <w:rsid w:val="00995F08"/>
    <w:rsid w:val="009973BA"/>
    <w:rsid w:val="009B412B"/>
    <w:rsid w:val="009B4DB3"/>
    <w:rsid w:val="009C0098"/>
    <w:rsid w:val="009C2D86"/>
    <w:rsid w:val="009E3EEF"/>
    <w:rsid w:val="009E7966"/>
    <w:rsid w:val="00A16D12"/>
    <w:rsid w:val="00A221C0"/>
    <w:rsid w:val="00A40F27"/>
    <w:rsid w:val="00A47BEC"/>
    <w:rsid w:val="00A54A03"/>
    <w:rsid w:val="00A66573"/>
    <w:rsid w:val="00A95867"/>
    <w:rsid w:val="00AF0C4D"/>
    <w:rsid w:val="00B051DA"/>
    <w:rsid w:val="00B30778"/>
    <w:rsid w:val="00B31A0C"/>
    <w:rsid w:val="00B741BA"/>
    <w:rsid w:val="00BB1BFE"/>
    <w:rsid w:val="00BB2EF0"/>
    <w:rsid w:val="00BB40AE"/>
    <w:rsid w:val="00BB6C0A"/>
    <w:rsid w:val="00BC3BC4"/>
    <w:rsid w:val="00BE1968"/>
    <w:rsid w:val="00BF039B"/>
    <w:rsid w:val="00C11C79"/>
    <w:rsid w:val="00C17359"/>
    <w:rsid w:val="00C22333"/>
    <w:rsid w:val="00C350AC"/>
    <w:rsid w:val="00C55113"/>
    <w:rsid w:val="00C61388"/>
    <w:rsid w:val="00C6309A"/>
    <w:rsid w:val="00C703D1"/>
    <w:rsid w:val="00C76395"/>
    <w:rsid w:val="00CD185C"/>
    <w:rsid w:val="00CD7F84"/>
    <w:rsid w:val="00CE3456"/>
    <w:rsid w:val="00D04F41"/>
    <w:rsid w:val="00D12AC5"/>
    <w:rsid w:val="00D1766B"/>
    <w:rsid w:val="00D4044F"/>
    <w:rsid w:val="00D41C7E"/>
    <w:rsid w:val="00D74A1C"/>
    <w:rsid w:val="00D915D4"/>
    <w:rsid w:val="00D96031"/>
    <w:rsid w:val="00DE2793"/>
    <w:rsid w:val="00DE45C5"/>
    <w:rsid w:val="00DF5014"/>
    <w:rsid w:val="00DF72CD"/>
    <w:rsid w:val="00E31327"/>
    <w:rsid w:val="00E96A03"/>
    <w:rsid w:val="00EC7795"/>
    <w:rsid w:val="00EE359C"/>
    <w:rsid w:val="00EF56E7"/>
    <w:rsid w:val="00EF623C"/>
    <w:rsid w:val="00F05555"/>
    <w:rsid w:val="00F25842"/>
    <w:rsid w:val="00F270F6"/>
    <w:rsid w:val="00F35CD4"/>
    <w:rsid w:val="00F4744C"/>
    <w:rsid w:val="00F66A41"/>
    <w:rsid w:val="00F83589"/>
    <w:rsid w:val="00F858BA"/>
    <w:rsid w:val="00FA124D"/>
    <w:rsid w:val="00FA2D43"/>
    <w:rsid w:val="00FA50FA"/>
    <w:rsid w:val="00FC4883"/>
    <w:rsid w:val="00FE3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4F8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Heading3">
    <w:name w:val="heading 3"/>
    <w:basedOn w:val="Normal"/>
    <w:next w:val="Normal"/>
    <w:link w:val="Heading3Char"/>
    <w:qFormat/>
    <w:rsid w:val="000B091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054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3B2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288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B2883"/>
    <w:rPr>
      <w:rFonts w:ascii="Times New Roman" w:eastAsia="Times New Roman" w:hAnsi="Times New Roman" w:cs="Times New Roman"/>
      <w:sz w:val="20"/>
      <w:szCs w:val="20"/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288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B2883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288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B2883"/>
    <w:rPr>
      <w:rFonts w:ascii="Tahoma" w:eastAsia="Times New Roman" w:hAnsi="Tahoma" w:cs="Tahoma"/>
      <w:sz w:val="16"/>
      <w:szCs w:val="16"/>
      <w:lang w:val="en-AU" w:eastAsia="en-AU"/>
    </w:rPr>
  </w:style>
  <w:style w:type="character" w:styleId="Hyperlink">
    <w:name w:val="Hyperlink"/>
    <w:uiPriority w:val="99"/>
    <w:unhideWhenUsed/>
    <w:rsid w:val="000B091B"/>
    <w:rPr>
      <w:color w:val="0000FF"/>
      <w:u w:val="single"/>
    </w:rPr>
  </w:style>
  <w:style w:type="character" w:customStyle="1" w:styleId="Heading3Char">
    <w:name w:val="Heading 3 Char"/>
    <w:link w:val="Heading3"/>
    <w:rsid w:val="000B091B"/>
    <w:rPr>
      <w:rFonts w:ascii="Arial" w:eastAsia="Times New Roman" w:hAnsi="Arial" w:cs="Arial"/>
      <w:b/>
      <w:bCs/>
      <w:sz w:val="26"/>
      <w:szCs w:val="26"/>
    </w:rPr>
  </w:style>
  <w:style w:type="paragraph" w:customStyle="1" w:styleId="StandardI">
    <w:name w:val="Standard I"/>
    <w:basedOn w:val="Normal"/>
    <w:rsid w:val="000B091B"/>
    <w:pPr>
      <w:spacing w:line="360" w:lineRule="auto"/>
    </w:pPr>
    <w:rPr>
      <w:rFonts w:ascii="Arial" w:hAnsi="Arial" w:cs="Arial"/>
      <w:sz w:val="22"/>
      <w:szCs w:val="22"/>
      <w:lang w:val="de-DE" w:eastAsia="de-DE"/>
    </w:rPr>
  </w:style>
  <w:style w:type="paragraph" w:styleId="Header">
    <w:name w:val="header"/>
    <w:basedOn w:val="Normal"/>
    <w:link w:val="HeaderChar"/>
    <w:uiPriority w:val="99"/>
    <w:unhideWhenUsed/>
    <w:rsid w:val="000B091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B091B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0B091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0B091B"/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Emphasis">
    <w:name w:val="Emphasis"/>
    <w:uiPriority w:val="20"/>
    <w:qFormat/>
    <w:rsid w:val="00362853"/>
    <w:rPr>
      <w:i/>
      <w:iCs/>
    </w:rPr>
  </w:style>
  <w:style w:type="character" w:styleId="Strong">
    <w:name w:val="Strong"/>
    <w:uiPriority w:val="22"/>
    <w:qFormat/>
    <w:rsid w:val="005F282C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rsid w:val="005F282C"/>
  </w:style>
  <w:style w:type="paragraph" w:styleId="HTMLPreformatted">
    <w:name w:val="HTML Preformatted"/>
    <w:basedOn w:val="Normal"/>
    <w:link w:val="HTMLPreformattedChar"/>
    <w:uiPriority w:val="99"/>
    <w:unhideWhenUsed/>
    <w:rsid w:val="00725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de-DE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25991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54F8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Heading3">
    <w:name w:val="heading 3"/>
    <w:basedOn w:val="Normal"/>
    <w:next w:val="Normal"/>
    <w:link w:val="Heading3Char"/>
    <w:qFormat/>
    <w:rsid w:val="000B091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054F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3B28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B2883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B2883"/>
    <w:rPr>
      <w:rFonts w:ascii="Times New Roman" w:eastAsia="Times New Roman" w:hAnsi="Times New Roman" w:cs="Times New Roman"/>
      <w:sz w:val="20"/>
      <w:szCs w:val="20"/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288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B2883"/>
    <w:rPr>
      <w:rFonts w:ascii="Times New Roman" w:eastAsia="Times New Roman" w:hAnsi="Times New Roman" w:cs="Times New Roman"/>
      <w:b/>
      <w:bCs/>
      <w:sz w:val="20"/>
      <w:szCs w:val="20"/>
      <w:lang w:val="en-AU"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288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3B2883"/>
    <w:rPr>
      <w:rFonts w:ascii="Tahoma" w:eastAsia="Times New Roman" w:hAnsi="Tahoma" w:cs="Tahoma"/>
      <w:sz w:val="16"/>
      <w:szCs w:val="16"/>
      <w:lang w:val="en-AU" w:eastAsia="en-AU"/>
    </w:rPr>
  </w:style>
  <w:style w:type="character" w:styleId="Hyperlink">
    <w:name w:val="Hyperlink"/>
    <w:uiPriority w:val="99"/>
    <w:unhideWhenUsed/>
    <w:rsid w:val="000B091B"/>
    <w:rPr>
      <w:color w:val="0000FF"/>
      <w:u w:val="single"/>
    </w:rPr>
  </w:style>
  <w:style w:type="character" w:customStyle="1" w:styleId="Heading3Char">
    <w:name w:val="Heading 3 Char"/>
    <w:link w:val="Heading3"/>
    <w:rsid w:val="000B091B"/>
    <w:rPr>
      <w:rFonts w:ascii="Arial" w:eastAsia="Times New Roman" w:hAnsi="Arial" w:cs="Arial"/>
      <w:b/>
      <w:bCs/>
      <w:sz w:val="26"/>
      <w:szCs w:val="26"/>
    </w:rPr>
  </w:style>
  <w:style w:type="paragraph" w:customStyle="1" w:styleId="StandardI">
    <w:name w:val="Standard I"/>
    <w:basedOn w:val="Normal"/>
    <w:rsid w:val="000B091B"/>
    <w:pPr>
      <w:spacing w:line="360" w:lineRule="auto"/>
    </w:pPr>
    <w:rPr>
      <w:rFonts w:ascii="Arial" w:hAnsi="Arial" w:cs="Arial"/>
      <w:sz w:val="22"/>
      <w:szCs w:val="22"/>
      <w:lang w:val="de-DE" w:eastAsia="de-DE"/>
    </w:rPr>
  </w:style>
  <w:style w:type="paragraph" w:styleId="Header">
    <w:name w:val="header"/>
    <w:basedOn w:val="Normal"/>
    <w:link w:val="HeaderChar"/>
    <w:uiPriority w:val="99"/>
    <w:unhideWhenUsed/>
    <w:rsid w:val="000B091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0B091B"/>
    <w:rPr>
      <w:rFonts w:ascii="Times New Roman" w:eastAsia="Times New Roman" w:hAnsi="Times New Roman"/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unhideWhenUsed/>
    <w:rsid w:val="000B091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0B091B"/>
    <w:rPr>
      <w:rFonts w:ascii="Times New Roman" w:eastAsia="Times New Roman" w:hAnsi="Times New Roman"/>
      <w:sz w:val="24"/>
      <w:szCs w:val="24"/>
      <w:lang w:val="en-AU" w:eastAsia="en-AU"/>
    </w:rPr>
  </w:style>
  <w:style w:type="character" w:styleId="Emphasis">
    <w:name w:val="Emphasis"/>
    <w:uiPriority w:val="20"/>
    <w:qFormat/>
    <w:rsid w:val="00362853"/>
    <w:rPr>
      <w:i/>
      <w:iCs/>
    </w:rPr>
  </w:style>
  <w:style w:type="character" w:styleId="Strong">
    <w:name w:val="Strong"/>
    <w:uiPriority w:val="22"/>
    <w:qFormat/>
    <w:rsid w:val="005F282C"/>
    <w:rPr>
      <w:rFonts w:cs="Times New Roman"/>
      <w:b/>
      <w:bCs/>
    </w:rPr>
  </w:style>
  <w:style w:type="character" w:customStyle="1" w:styleId="apple-converted-space">
    <w:name w:val="apple-converted-space"/>
    <w:basedOn w:val="DefaultParagraphFont"/>
    <w:rsid w:val="005F282C"/>
  </w:style>
  <w:style w:type="paragraph" w:styleId="HTMLPreformatted">
    <w:name w:val="HTML Preformatted"/>
    <w:basedOn w:val="Normal"/>
    <w:link w:val="HTMLPreformattedChar"/>
    <w:uiPriority w:val="99"/>
    <w:unhideWhenUsed/>
    <w:rsid w:val="00725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de-DE" w:eastAsia="de-D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25991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48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6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uni-marburg.de/fb04/team-wagner/Team-en/staff/frank-asbrock" TargetMode="External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971</Words>
  <Characters>5540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Philipps-Universität Marburg</Company>
  <LinksUpToDate>false</LinksUpToDate>
  <CharactersWithSpaces>6499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</dc:creator>
  <cp:lastModifiedBy>Shelley</cp:lastModifiedBy>
  <cp:revision>2</cp:revision>
  <cp:lastPrinted>2014-08-16T07:47:00Z</cp:lastPrinted>
  <dcterms:created xsi:type="dcterms:W3CDTF">2014-10-21T11:22:00Z</dcterms:created>
  <dcterms:modified xsi:type="dcterms:W3CDTF">2014-10-21T11:22:00Z</dcterms:modified>
</cp:coreProperties>
</file>